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277"/>
        <w:gridCol w:w="283"/>
        <w:gridCol w:w="1275"/>
        <w:gridCol w:w="709"/>
      </w:tblGrid>
      <w:tr w:rsidR="002861A7" w14:paraId="72FDAFC1" w14:textId="77777777" w:rsidTr="00BF6297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6D0F4509" w14:textId="1B2AFD25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  <w:p w14:paraId="7DD86DEA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2861A7" w14:paraId="76F6376B" w14:textId="77777777" w:rsidTr="00BF6297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94C61CC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2508B20" w14:textId="7C87115B" w:rsidR="002861A7" w:rsidRDefault="00A23E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ELEMENTY STATYSTYKI</w:t>
            </w:r>
          </w:p>
        </w:tc>
      </w:tr>
      <w:tr w:rsidR="002861A7" w14:paraId="7962AFB8" w14:textId="77777777" w:rsidTr="00BF6297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EB8FA2E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2861A7" w14:paraId="52474A72" w14:textId="77777777" w:rsidTr="00BF6297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9FC0D18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8F373F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Kosmetologia</w:t>
            </w:r>
          </w:p>
        </w:tc>
      </w:tr>
      <w:tr w:rsidR="002861A7" w14:paraId="2020A502" w14:textId="77777777" w:rsidTr="00BF6297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3FFDA19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95EAD06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stacjonarna/niestacjonarna</w:t>
            </w:r>
          </w:p>
        </w:tc>
      </w:tr>
      <w:tr w:rsidR="002861A7" w14:paraId="592D4124" w14:textId="77777777" w:rsidTr="00BF6297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F6711CC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022914E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drugiego stopnia/magisterskie</w:t>
            </w:r>
          </w:p>
        </w:tc>
      </w:tr>
      <w:tr w:rsidR="002861A7" w14:paraId="33E72273" w14:textId="77777777" w:rsidTr="00BF6297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828D9D2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2391BAB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 praktyczny</w:t>
            </w:r>
          </w:p>
        </w:tc>
      </w:tr>
      <w:tr w:rsidR="002861A7" w14:paraId="78D538E0" w14:textId="77777777" w:rsidTr="00BF6297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516DDE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F0D2D5" w14:textId="69B9E49B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Wydział Nauk Medycznych </w:t>
            </w:r>
          </w:p>
        </w:tc>
      </w:tr>
      <w:tr w:rsidR="002861A7" w14:paraId="6969C231" w14:textId="77777777" w:rsidTr="00BF6297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6F3E130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7512B2FE" w14:textId="653B0346" w:rsidR="002861A7" w:rsidRPr="003C2AB6" w:rsidRDefault="00EC53EC" w:rsidP="00CA047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3C2AB6">
              <w:rPr>
                <w:rFonts w:eastAsia="Times New Roman"/>
                <w:color w:val="000000"/>
                <w:lang w:eastAsia="pl-PL"/>
              </w:rPr>
              <w:t>Dr Alina Ukalisz-Kapała</w:t>
            </w:r>
          </w:p>
        </w:tc>
      </w:tr>
      <w:tr w:rsidR="002861A7" w14:paraId="09E46325" w14:textId="77777777" w:rsidTr="00BF6297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94BBED3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2861A7" w14:paraId="0081CA0E" w14:textId="77777777" w:rsidTr="00BF6297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9BC48A7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73BE9B6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obowiązkowy</w:t>
            </w:r>
          </w:p>
        </w:tc>
      </w:tr>
      <w:tr w:rsidR="002861A7" w14:paraId="6CC9D5AC" w14:textId="77777777" w:rsidTr="00BF6297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3133E3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0A032CE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polski </w:t>
            </w:r>
          </w:p>
        </w:tc>
      </w:tr>
      <w:tr w:rsidR="002861A7" w14:paraId="2398C59B" w14:textId="77777777" w:rsidTr="00BF6297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6171EF6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0B7BCB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pierwszy/ </w:t>
            </w:r>
            <w:r w:rsidRPr="002B32E2">
              <w:rPr>
                <w:rFonts w:eastAsia="Times New Roman"/>
                <w:b/>
                <w:color w:val="000000"/>
                <w:lang w:eastAsia="pl-PL"/>
              </w:rPr>
              <w:t>drugi</w:t>
            </w:r>
            <w:r>
              <w:rPr>
                <w:rFonts w:eastAsia="Times New Roman"/>
                <w:color w:val="000000"/>
                <w:lang w:eastAsia="pl-PL"/>
              </w:rPr>
              <w:t xml:space="preserve">/ trzeci/ </w:t>
            </w:r>
            <w:r w:rsidRPr="002B32E2">
              <w:rPr>
                <w:rFonts w:eastAsia="Times New Roman"/>
                <w:color w:val="000000"/>
                <w:lang w:eastAsia="pl-PL"/>
              </w:rPr>
              <w:t>czwarty</w:t>
            </w:r>
          </w:p>
        </w:tc>
      </w:tr>
      <w:tr w:rsidR="002861A7" w14:paraId="12F8C366" w14:textId="77777777" w:rsidTr="00BF6297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6E1A141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Wymagania wstępne</w:t>
            </w:r>
            <w:r w:rsidR="00BF6297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</w:t>
            </w:r>
            <w:r w:rsidR="00BF6297">
              <w:rPr>
                <w:rFonts w:eastAsia="Times New Roman"/>
                <w:bCs/>
                <w:color w:val="000000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8F3FB35" w14:textId="77777777" w:rsidR="002861A7" w:rsidRDefault="002B32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Brak</w:t>
            </w:r>
            <w:r w:rsidR="002861A7">
              <w:t xml:space="preserve"> </w:t>
            </w:r>
          </w:p>
        </w:tc>
      </w:tr>
      <w:tr w:rsidR="002861A7" w14:paraId="2712AD89" w14:textId="77777777" w:rsidTr="00BF6297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C6CDACC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BF6297" w14:paraId="2E0807EB" w14:textId="77777777" w:rsidTr="00BF6297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82A21" w14:textId="77777777" w:rsidR="00BF6297" w:rsidRDefault="00BF6297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E0CB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0BD69" w14:textId="77777777" w:rsidR="00BF6297" w:rsidRDefault="00BF6297">
            <w:pPr>
              <w:spacing w:after="0" w:line="240" w:lineRule="auto"/>
              <w:ind w:left="-57" w:right="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F541C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AB6C0" w14:textId="77777777" w:rsidR="00BF6297" w:rsidRDefault="00BF6297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1B1E7" w14:textId="77777777" w:rsidR="00BF6297" w:rsidRDefault="00BF6297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2AFB4" w14:textId="77777777" w:rsidR="00BF6297" w:rsidRDefault="00BF6297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AB5C7E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BF6297" w14:paraId="5C6003AB" w14:textId="77777777" w:rsidTr="00BF6297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49A6A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49864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723E6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8F3CB" w14:textId="77777777" w:rsidR="00BF6297" w:rsidRDefault="00E2067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D5FEE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5F53F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E3CD1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D1FE9FA" w14:textId="77777777" w:rsidR="00BF6297" w:rsidRDefault="002B32E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1</w:t>
            </w:r>
          </w:p>
        </w:tc>
      </w:tr>
      <w:tr w:rsidR="00BF6297" w14:paraId="6FA8ABD5" w14:textId="77777777" w:rsidTr="00BF6297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A79ADE1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9108D1E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B02A5D1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FA02EAC" w14:textId="77777777" w:rsidR="00BF6297" w:rsidRDefault="00C649B1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F2B5E1E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DC6725F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11E9FAC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E0584F" w14:textId="77777777" w:rsidR="00BF6297" w:rsidRDefault="002B32E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1</w:t>
            </w:r>
          </w:p>
        </w:tc>
      </w:tr>
      <w:tr w:rsidR="002861A7" w14:paraId="3B05DEF6" w14:textId="77777777" w:rsidTr="00BF6297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4D5021E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ABEF690" w14:textId="77777777" w:rsidR="002861A7" w:rsidRDefault="003A3F9D" w:rsidP="007B332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pl-PL"/>
              </w:rPr>
            </w:pPr>
            <w:r w:rsidRPr="003A3F9D">
              <w:t>Ćwiczenia z wykorzystaniem środków audiowizualnych, elementy dyskusji, prezentacja multimedialna, zadania praktyczne i problemowe, praca w małych grupach, rozmowa nauczająca</w:t>
            </w:r>
          </w:p>
        </w:tc>
      </w:tr>
      <w:tr w:rsidR="002861A7" w14:paraId="6546D527" w14:textId="77777777" w:rsidTr="00BF6297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B474560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D750E" w14:textId="77777777" w:rsidR="002861A7" w:rsidRDefault="007B332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pl-PL"/>
              </w:rPr>
            </w:pPr>
            <w:r w:rsidRPr="007B332C">
              <w:rPr>
                <w:rFonts w:eastAsia="Times New Roman"/>
                <w:color w:val="000000"/>
                <w:lang w:eastAsia="pl-PL"/>
              </w:rPr>
              <w:tab/>
              <w:t>Zadania praktyczne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8C05341" w14:textId="77777777" w:rsidR="002861A7" w:rsidRDefault="007B332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ćwiczenia</w:t>
            </w:r>
          </w:p>
        </w:tc>
      </w:tr>
      <w:tr w:rsidR="002861A7" w14:paraId="76DF0ED2" w14:textId="77777777" w:rsidTr="00BF6297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96C32A0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2861A7" w14:paraId="0893BA45" w14:textId="77777777" w:rsidTr="00BF6297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648814D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6956049" w14:textId="77777777" w:rsidR="003A3F9D" w:rsidRPr="003A3F9D" w:rsidRDefault="003A3F9D" w:rsidP="003A3F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3A3F9D">
              <w:rPr>
                <w:rFonts w:eastAsia="Times New Roman"/>
                <w:sz w:val="18"/>
                <w:lang w:eastAsia="pl-PL"/>
              </w:rPr>
              <w:t>Jóźwiak J., Podgórski J., Statystyka od podstaw, PWE, Warszawa 2012.</w:t>
            </w:r>
          </w:p>
          <w:p w14:paraId="2B9B86EB" w14:textId="77777777" w:rsidR="002861A7" w:rsidRPr="007B332C" w:rsidRDefault="003A3F9D" w:rsidP="003A3F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3A3F9D">
              <w:rPr>
                <w:rFonts w:eastAsia="Times New Roman"/>
                <w:sz w:val="18"/>
                <w:lang w:eastAsia="pl-PL"/>
              </w:rPr>
              <w:t>Sobczyk M., Statystyka, Wydawnictwo Naukowe PWN, Warszawa 2006.</w:t>
            </w:r>
          </w:p>
        </w:tc>
      </w:tr>
      <w:tr w:rsidR="002861A7" w14:paraId="6F2A9D94" w14:textId="77777777" w:rsidTr="00BF6297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5D94D4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6F233F7C" w14:textId="77777777" w:rsidR="008F323B" w:rsidRPr="008F323B" w:rsidRDefault="008F323B" w:rsidP="008F32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8F323B">
              <w:rPr>
                <w:rFonts w:eastAsia="Times New Roman"/>
                <w:sz w:val="18"/>
                <w:lang w:eastAsia="pl-PL"/>
              </w:rPr>
              <w:t>Moczko J., Bręborowicz G.H., Nie samą biostatystyką, Ośrodek Wydawnictw Naukowych ICB PAN, Poznań 2010.</w:t>
            </w:r>
          </w:p>
          <w:p w14:paraId="36477A46" w14:textId="77777777" w:rsidR="002861A7" w:rsidRPr="007B332C" w:rsidRDefault="008F323B" w:rsidP="008F32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8F323B">
              <w:rPr>
                <w:rFonts w:eastAsia="Times New Roman"/>
                <w:sz w:val="18"/>
                <w:lang w:eastAsia="pl-PL"/>
              </w:rPr>
              <w:t>Moczko J., Statystyka medyczna w zarysie, Wydawnictwo Lekarskie PZWL, Warszawa 2006.</w:t>
            </w:r>
          </w:p>
        </w:tc>
      </w:tr>
      <w:tr w:rsidR="002861A7" w14:paraId="0DDDDE42" w14:textId="77777777" w:rsidTr="00BF6297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0EC21EA" w14:textId="647555B4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CELE, TREŚCI I EFEKTY </w:t>
            </w:r>
            <w:r w:rsidR="00514CD0">
              <w:rPr>
                <w:rFonts w:eastAsia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2861A7" w14:paraId="21ECD940" w14:textId="77777777" w:rsidTr="00BF6297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3A45210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7B332C" w14:paraId="256B80E0" w14:textId="77777777" w:rsidTr="00BF6297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65730E3" w14:textId="77777777" w:rsidR="007B332C" w:rsidRDefault="007B332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9FB36A1" w14:textId="77777777" w:rsidR="007B332C" w:rsidRPr="009E1AC6" w:rsidRDefault="007B332C" w:rsidP="00B165F5">
            <w:pPr>
              <w:spacing w:after="0" w:line="240" w:lineRule="auto"/>
              <w:jc w:val="both"/>
            </w:pPr>
            <w:r w:rsidRPr="009E1AC6">
              <w:t xml:space="preserve">kształcenie kompetencji efektywnego </w:t>
            </w:r>
            <w:r w:rsidR="00B165F5">
              <w:t>wykorzystywania metod statystycznych w kosmetologii</w:t>
            </w:r>
          </w:p>
        </w:tc>
      </w:tr>
      <w:tr w:rsidR="002861A7" w14:paraId="1D59B30D" w14:textId="77777777" w:rsidTr="00BF6297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283BE8AB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2861A7" w14:paraId="714E24C7" w14:textId="77777777" w:rsidTr="00BF6297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1536C5C7" w14:textId="77777777" w:rsidR="002861A7" w:rsidRDefault="002861A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FORMA ĆWICZENIOWA</w:t>
            </w:r>
          </w:p>
        </w:tc>
      </w:tr>
      <w:tr w:rsidR="002861A7" w14:paraId="0E5496EB" w14:textId="77777777" w:rsidTr="00BF6297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DE5DD0E" w14:textId="77777777" w:rsidR="008F323B" w:rsidRDefault="008F323B" w:rsidP="008F323B">
            <w:pPr>
              <w:spacing w:after="0" w:line="240" w:lineRule="auto"/>
              <w:jc w:val="both"/>
            </w:pPr>
            <w:r>
              <w:t xml:space="preserve">Podstawowe zasady zbierania i przygotowania danych do analizy w badaniach medycznych. Zasady, sposoby i narzędzia stosowane do analizy i interpretacji uzyskanych wyników badań. Programy komputerowe w opracowaniu </w:t>
            </w:r>
            <w:r>
              <w:lastRenderedPageBreak/>
              <w:t>statystycznym.</w:t>
            </w:r>
          </w:p>
          <w:p w14:paraId="565E382D" w14:textId="77777777" w:rsidR="008F323B" w:rsidRDefault="008F323B" w:rsidP="008F323B">
            <w:pPr>
              <w:spacing w:after="0" w:line="240" w:lineRule="auto"/>
              <w:jc w:val="both"/>
            </w:pPr>
            <w:r>
              <w:t xml:space="preserve">Rodzaje badań naukowych. Projektowanie badań naukowych z zakresu medycyny. Publikacje naukowe i metody statystyczne w  nich opisane. Wnioskowanie statystyczne w zakresie krytycznej analizy danych z piśmiennictwa. Medycyna oparta na dowodach. </w:t>
            </w:r>
          </w:p>
          <w:p w14:paraId="779E0B3C" w14:textId="77777777" w:rsidR="008F323B" w:rsidRDefault="008F323B" w:rsidP="008F323B">
            <w:pPr>
              <w:spacing w:after="0" w:line="240" w:lineRule="auto"/>
              <w:jc w:val="both"/>
            </w:pPr>
            <w:r>
              <w:t>Elementy statystyki opisowej: prezentacja graficzna danych, prezentacja tabelaryczna danych, statystyczna analiza danych. Przykłady z zakresu medycyny.</w:t>
            </w:r>
          </w:p>
          <w:p w14:paraId="0521E46D" w14:textId="77777777" w:rsidR="008F323B" w:rsidRDefault="008F323B" w:rsidP="008F323B">
            <w:pPr>
              <w:spacing w:after="0" w:line="240" w:lineRule="auto"/>
              <w:jc w:val="both"/>
            </w:pPr>
            <w:r>
              <w:t>Zmienne losowe jednowymiarowe: rozkłady zmiennych losowych. funkcje zmiennych losowych, parametry rozkładu.  Zmienne losowe dwuwymiarowe: funkcje zmiennych losowych, rozkład dwuwymiarowej zmiennej losowej, parametry rozkładu dwuwymiarowej zmiennej losowej. Przykłady z zakresu medycyny.</w:t>
            </w:r>
          </w:p>
          <w:p w14:paraId="0044E52B" w14:textId="77777777" w:rsidR="008F323B" w:rsidRDefault="008F323B" w:rsidP="008F323B">
            <w:pPr>
              <w:spacing w:after="0" w:line="240" w:lineRule="auto"/>
              <w:jc w:val="both"/>
            </w:pPr>
            <w:r>
              <w:t>Wnioskowanie statystyczne: estymacja przedziałowa w jednej populacji (rozkład statystyk z próby, przedziały ufności dla parametrów rozkładu). Przykłady z zakresu medycyny.</w:t>
            </w:r>
          </w:p>
          <w:p w14:paraId="6E18659B" w14:textId="77777777" w:rsidR="008F323B" w:rsidRDefault="008F323B" w:rsidP="008F323B">
            <w:pPr>
              <w:spacing w:after="0" w:line="240" w:lineRule="auto"/>
              <w:jc w:val="both"/>
            </w:pPr>
            <w:r>
              <w:t>Wnioskowanie statystyczne: estymacja przedziałowa w dwóch populacjach: rozkłady statystyk z próby, przedziały ufności dla parametrów rozkładu. Przykłady z zakresu medycyny.</w:t>
            </w:r>
          </w:p>
          <w:p w14:paraId="38FED3FC" w14:textId="77777777" w:rsidR="008F323B" w:rsidRDefault="008F323B" w:rsidP="008F323B">
            <w:pPr>
              <w:spacing w:after="0" w:line="240" w:lineRule="auto"/>
              <w:jc w:val="both"/>
            </w:pPr>
            <w:r>
              <w:t>Wnioskowanie statystyczne: weryfikacja hipotez w jednej populacji (testy statystyczne, hipotezy parametryczne  i nieparametryczne). Przykłady z zakresu medycyny.</w:t>
            </w:r>
          </w:p>
          <w:p w14:paraId="23174955" w14:textId="77777777" w:rsidR="008F323B" w:rsidRDefault="008F323B" w:rsidP="008F323B">
            <w:pPr>
              <w:spacing w:after="0" w:line="240" w:lineRule="auto"/>
              <w:jc w:val="both"/>
            </w:pPr>
            <w:r>
              <w:t>Wnioskowanie statystyczne: weryfikacja hipotez dla dwóch populacji, testy statystyczne, hipotezy parametryczne  i nieparametryczne. Przykłady z zakresu medycyny.</w:t>
            </w:r>
          </w:p>
          <w:p w14:paraId="4F65131A" w14:textId="77777777" w:rsidR="008F323B" w:rsidRDefault="008F323B" w:rsidP="008F323B">
            <w:pPr>
              <w:spacing w:after="0" w:line="240" w:lineRule="auto"/>
              <w:jc w:val="both"/>
            </w:pPr>
            <w:r>
              <w:t>Jednoczynnikowa analiza wariancji ANOVA. Przykłady z zakresu medycyny.  Wieloczynnikowa analiza wariancji MANOVA. Przykłady z zakresu medycyny.</w:t>
            </w:r>
          </w:p>
          <w:p w14:paraId="739AA263" w14:textId="77777777" w:rsidR="002861A7" w:rsidRDefault="008F323B" w:rsidP="008F323B">
            <w:pPr>
              <w:spacing w:after="0" w:line="240" w:lineRule="auto"/>
              <w:jc w:val="both"/>
            </w:pPr>
            <w:r>
              <w:t>Badanie zależności: analiza korelacji, korelacja rangowa, test chi-kwadrat niezależności. Badanie zgodności rozkładów zmiennych losowych. Przykłady z zakresu medycyny.</w:t>
            </w:r>
          </w:p>
        </w:tc>
      </w:tr>
      <w:tr w:rsidR="002861A7" w14:paraId="03FE83E5" w14:textId="77777777" w:rsidTr="00BF6297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5E2E7F06" w14:textId="3A6F9972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 xml:space="preserve">Efekty </w:t>
            </w:r>
            <w:r w:rsidR="00514CD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38CBF839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D576EB" w14:paraId="4846C328" w14:textId="77777777" w:rsidTr="00663F7D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6168BDB" w14:textId="77777777" w:rsidR="00D576EB" w:rsidRDefault="00D576E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A003C15" w14:textId="77777777" w:rsidR="00D576EB" w:rsidRDefault="00D576E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 xml:space="preserve">w zakresie </w:t>
            </w:r>
            <w:r w:rsidR="00162DBF"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KOMPETENCJI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60DBE35" w14:textId="77777777" w:rsidR="00D576EB" w:rsidRDefault="00D576EB" w:rsidP="00E802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76EB">
              <w:rPr>
                <w:rFonts w:eastAsia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D576EB" w14:paraId="3E6930A9" w14:textId="77777777" w:rsidTr="00E112E8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B9AF72" w14:textId="77777777" w:rsidR="00D576EB" w:rsidRDefault="00D576EB">
            <w:pPr>
              <w:spacing w:after="0" w:line="240" w:lineRule="auto"/>
              <w:jc w:val="center"/>
            </w:pPr>
            <w:r>
              <w:t>P_K01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78C810E" w14:textId="77777777" w:rsidR="00D576EB" w:rsidRDefault="00162DBF" w:rsidP="00162DBF">
            <w:pPr>
              <w:spacing w:after="0" w:line="240" w:lineRule="auto"/>
              <w:jc w:val="both"/>
            </w:pPr>
            <w:r w:rsidRPr="00162DBF">
              <w:t>jest świadomy potrzeby ustawicznego doskonalenia zawodowego i podnoszenia kwalifikacji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3FCB5B" w14:textId="77777777" w:rsidR="00D576EB" w:rsidRPr="00D94E0F" w:rsidRDefault="00D94E0F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pl-PL"/>
              </w:rPr>
            </w:pPr>
            <w:r w:rsidRPr="00D94E0F">
              <w:rPr>
                <w:rFonts w:eastAsia="Times New Roman"/>
                <w:szCs w:val="24"/>
                <w:lang w:eastAsia="pl-PL"/>
              </w:rPr>
              <w:t>K_K01</w:t>
            </w:r>
          </w:p>
        </w:tc>
      </w:tr>
      <w:tr w:rsidR="00BF6297" w14:paraId="190556DD" w14:textId="77777777" w:rsidTr="00BF6297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647C8BA0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993"/>
        <w:gridCol w:w="1842"/>
        <w:gridCol w:w="1985"/>
        <w:gridCol w:w="1843"/>
        <w:gridCol w:w="2835"/>
      </w:tblGrid>
      <w:tr w:rsidR="002861A7" w14:paraId="24884A29" w14:textId="77777777" w:rsidTr="00C5547A">
        <w:trPr>
          <w:trHeight w:val="4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218AD" w14:textId="77777777" w:rsidR="002861A7" w:rsidRDefault="002861A7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08D98E20" w14:textId="77777777" w:rsidR="002861A7" w:rsidRDefault="002861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E1D0C" w14:textId="77777777" w:rsidR="002861A7" w:rsidRDefault="002861A7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D0A69" w14:textId="77777777" w:rsidR="002861A7" w:rsidRDefault="002861A7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528B3" w14:textId="77777777" w:rsidR="002861A7" w:rsidRDefault="002861A7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72A99" w14:textId="77777777" w:rsidR="00C5547A" w:rsidRDefault="002861A7">
            <w:pPr>
              <w:spacing w:after="0" w:line="240" w:lineRule="auto"/>
              <w:ind w:left="194" w:right="133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</w:p>
          <w:p w14:paraId="5C4A2C09" w14:textId="77777777" w:rsidR="002861A7" w:rsidRDefault="002861A7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C06166" w14:paraId="3D3559BD" w14:textId="77777777" w:rsidTr="00C5547A">
        <w:trPr>
          <w:trHeight w:val="6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1C829" w14:textId="77777777" w:rsidR="00C06166" w:rsidRDefault="00C06166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P_K01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8863" w14:textId="77777777" w:rsidR="00C06166" w:rsidRPr="00C06166" w:rsidRDefault="00C06166" w:rsidP="00C06166">
            <w:pPr>
              <w:spacing w:after="0" w:line="240" w:lineRule="auto"/>
              <w:ind w:right="13"/>
              <w:jc w:val="both"/>
              <w:rPr>
                <w:rFonts w:ascii="Times New Roman" w:hAnsi="Times New Roman"/>
                <w:sz w:val="18"/>
              </w:rPr>
            </w:pPr>
            <w:r w:rsidRPr="00C06166">
              <w:rPr>
                <w:rFonts w:ascii="Times New Roman" w:hAnsi="Times New Roman"/>
                <w:sz w:val="18"/>
              </w:rPr>
              <w:t xml:space="preserve">aktywnie uczestniczyć w zajęciach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2059" w14:textId="77777777" w:rsidR="00C06166" w:rsidRPr="00C06166" w:rsidRDefault="00C06166" w:rsidP="00C06166">
            <w:pPr>
              <w:spacing w:after="0" w:line="240" w:lineRule="auto"/>
              <w:ind w:right="18"/>
              <w:jc w:val="both"/>
              <w:rPr>
                <w:rFonts w:ascii="Times New Roman" w:hAnsi="Times New Roman"/>
                <w:sz w:val="18"/>
              </w:rPr>
            </w:pPr>
            <w:r w:rsidRPr="00C06166">
              <w:rPr>
                <w:rFonts w:ascii="Times New Roman" w:hAnsi="Times New Roman"/>
                <w:sz w:val="18"/>
              </w:rPr>
              <w:t xml:space="preserve">aktywnie uczestniczyć w zajęciach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BCC4" w14:textId="77777777" w:rsidR="00C06166" w:rsidRPr="00C06166" w:rsidRDefault="00C06166" w:rsidP="00C061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C06166">
              <w:rPr>
                <w:rFonts w:ascii="Times New Roman" w:hAnsi="Times New Roman"/>
                <w:sz w:val="18"/>
              </w:rPr>
              <w:t xml:space="preserve">aktywnie uczestniczyć w zajęciach oraz sprawnie rozwiązywać zadania praktyczne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47B26" w14:textId="77777777" w:rsidR="00C06166" w:rsidRPr="00C06166" w:rsidRDefault="00C06166" w:rsidP="00C06166">
            <w:pPr>
              <w:spacing w:after="0" w:line="240" w:lineRule="auto"/>
              <w:ind w:left="84" w:right="34"/>
              <w:jc w:val="both"/>
              <w:rPr>
                <w:rFonts w:ascii="Times New Roman" w:hAnsi="Times New Roman"/>
                <w:sz w:val="18"/>
              </w:rPr>
            </w:pPr>
            <w:r w:rsidRPr="00C06166">
              <w:rPr>
                <w:rFonts w:ascii="Times New Roman" w:hAnsi="Times New Roman"/>
                <w:sz w:val="18"/>
              </w:rPr>
              <w:t>aktywnie uczestniczyć w zajęciach, sprawnie rozwiązywać zadania praktyczne oraz uczestniczyć w organizowanych przez uczelnię formach doskonalenia i do</w:t>
            </w:r>
            <w:r>
              <w:rPr>
                <w:rFonts w:ascii="Times New Roman" w:hAnsi="Times New Roman"/>
                <w:sz w:val="18"/>
              </w:rPr>
              <w:t>kształ</w:t>
            </w:r>
            <w:r w:rsidRPr="00C06166">
              <w:rPr>
                <w:rFonts w:ascii="Times New Roman" w:hAnsi="Times New Roman"/>
                <w:sz w:val="18"/>
              </w:rPr>
              <w:t xml:space="preserve">cania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126"/>
        <w:gridCol w:w="2127"/>
      </w:tblGrid>
      <w:tr w:rsidR="002E580D" w:rsidRPr="007A7B56" w14:paraId="6F31D1CA" w14:textId="77777777" w:rsidTr="00B05FEF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42C08818" w14:textId="77777777" w:rsidR="002E580D" w:rsidRPr="007A7B56" w:rsidRDefault="002E580D" w:rsidP="00B05FEF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7A7B56">
              <w:rPr>
                <w:rFonts w:eastAsia="Calibri"/>
                <w:b/>
                <w:bCs/>
                <w:color w:val="000000"/>
                <w:sz w:val="22"/>
                <w:szCs w:val="22"/>
              </w:rPr>
              <w:t>Obciążenie pracą studenta - bilans punktów ECTS</w:t>
            </w:r>
          </w:p>
        </w:tc>
      </w:tr>
      <w:tr w:rsidR="002E580D" w:rsidRPr="007A7B56" w14:paraId="4AE5708A" w14:textId="77777777" w:rsidTr="00B05FEF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54A20C0" w14:textId="77777777" w:rsidR="002E580D" w:rsidRPr="007A7B56" w:rsidRDefault="002E580D" w:rsidP="00B05FEF">
            <w:pPr>
              <w:widowControl w:val="0"/>
              <w:spacing w:before="60" w:after="60"/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7D75504" w14:textId="77777777" w:rsidR="002E580D" w:rsidRPr="007A7B56" w:rsidRDefault="002E580D" w:rsidP="00B05FEF">
            <w:pPr>
              <w:spacing w:after="0" w:line="240" w:lineRule="auto"/>
              <w:ind w:left="2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7A7B56">
              <w:rPr>
                <w:rFonts w:eastAsia="Tahoma"/>
                <w:b/>
                <w:color w:val="000000"/>
                <w:szCs w:val="22"/>
              </w:rPr>
              <w:t xml:space="preserve">Obciążenie studenta </w:t>
            </w:r>
          </w:p>
        </w:tc>
      </w:tr>
      <w:tr w:rsidR="002E580D" w:rsidRPr="007A7B56" w14:paraId="0435770B" w14:textId="77777777" w:rsidTr="00B05FEF">
        <w:trPr>
          <w:trHeight w:val="17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1B4229" w14:textId="77777777" w:rsidR="002E580D" w:rsidRPr="007A7B56" w:rsidRDefault="002E580D" w:rsidP="00B05FEF">
            <w:pPr>
              <w:widowControl w:val="0"/>
              <w:spacing w:before="60" w:after="60"/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60B8B" w14:textId="77777777" w:rsidR="002E580D" w:rsidRPr="007A7B56" w:rsidRDefault="002E580D" w:rsidP="00B05FEF">
            <w:pPr>
              <w:spacing w:after="0" w:line="240" w:lineRule="auto"/>
              <w:ind w:left="1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7A7B56">
              <w:rPr>
                <w:rFonts w:eastAsia="Tahoma"/>
                <w:b/>
                <w:color w:val="000000"/>
                <w:szCs w:val="22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9582" w14:textId="77777777" w:rsidR="002E580D" w:rsidRPr="007A7B56" w:rsidRDefault="002E580D" w:rsidP="00B05FEF">
            <w:pPr>
              <w:widowControl w:val="0"/>
              <w:spacing w:after="0" w:line="240" w:lineRule="auto"/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</w:pPr>
            <w:r w:rsidRPr="007A7B56">
              <w:rPr>
                <w:rFonts w:eastAsia="Tahoma"/>
                <w:b/>
                <w:color w:val="000000"/>
                <w:szCs w:val="22"/>
              </w:rPr>
              <w:t>studia niestacjonarne</w:t>
            </w:r>
          </w:p>
        </w:tc>
      </w:tr>
      <w:tr w:rsidR="002E580D" w:rsidRPr="007A7B56" w14:paraId="213B2DCD" w14:textId="77777777" w:rsidTr="00B05FEF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9A2B" w14:textId="77777777" w:rsidR="002E580D" w:rsidRPr="007A7B56" w:rsidRDefault="002E580D" w:rsidP="00B05FEF">
            <w:pPr>
              <w:widowControl w:val="0"/>
              <w:spacing w:before="60" w:after="60"/>
              <w:jc w:val="center"/>
              <w:rPr>
                <w:rFonts w:eastAsia="Calibri"/>
                <w:i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  <w:t>Godziny realizowane z bezpośrednim udziałem nauczyciela akademickiego:</w:t>
            </w:r>
          </w:p>
        </w:tc>
      </w:tr>
      <w:tr w:rsidR="002E580D" w:rsidRPr="007A7B56" w14:paraId="27DC21EA" w14:textId="77777777" w:rsidTr="00B05FEF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58E491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zCs w:val="22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7960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2487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2E580D" w:rsidRPr="007A7B56" w14:paraId="14565FE4" w14:textId="77777777" w:rsidTr="00B05FEF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0DE3CD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zCs w:val="22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9087E" w14:textId="77777777" w:rsidR="002E580D" w:rsidRPr="007A7B56" w:rsidRDefault="00E2067A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7528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10</w:t>
            </w:r>
          </w:p>
        </w:tc>
      </w:tr>
      <w:tr w:rsidR="002E580D" w:rsidRPr="007A7B56" w14:paraId="7CD1AF5B" w14:textId="77777777" w:rsidTr="00B05FEF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A977EE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zCs w:val="22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D7F4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7418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2E580D" w:rsidRPr="007A7B56" w14:paraId="633943E0" w14:textId="77777777" w:rsidTr="00B05FEF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4132F8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spacing w:val="-1"/>
                <w:szCs w:val="22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FFC7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4B28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2E580D" w:rsidRPr="007A7B56" w14:paraId="0237A5A6" w14:textId="77777777" w:rsidTr="00B05FE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EDDC71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zCs w:val="22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9C64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6ACA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2E580D" w:rsidRPr="007A7B56" w14:paraId="764A9F2D" w14:textId="77777777" w:rsidTr="00B05FEF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71C0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  <w:t>Praca własna studenta:</w:t>
            </w:r>
          </w:p>
        </w:tc>
      </w:tr>
      <w:tr w:rsidR="002E580D" w:rsidRPr="007A7B56" w14:paraId="73B6621A" w14:textId="77777777" w:rsidTr="00B05FE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C97CAE" w14:textId="77777777" w:rsidR="002E580D" w:rsidRPr="007A7B56" w:rsidRDefault="002E580D" w:rsidP="00B05FEF">
            <w:pPr>
              <w:widowControl w:val="0"/>
              <w:spacing w:after="0" w:line="240" w:lineRule="auto"/>
              <w:ind w:left="-70"/>
              <w:rPr>
                <w:rFonts w:eastAsia="Calibri"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spacing w:val="-1"/>
                <w:szCs w:val="22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F873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3A6E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</w:t>
            </w:r>
          </w:p>
        </w:tc>
      </w:tr>
      <w:tr w:rsidR="002E580D" w:rsidRPr="007A7B56" w14:paraId="78EF6BCC" w14:textId="77777777" w:rsidTr="00B05FE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DE7EF9" w14:textId="77777777" w:rsidR="002E580D" w:rsidRPr="007A7B56" w:rsidRDefault="002E580D" w:rsidP="00B05FEF">
            <w:pPr>
              <w:widowControl w:val="0"/>
              <w:spacing w:after="0" w:line="240" w:lineRule="auto"/>
              <w:ind w:left="-70"/>
              <w:rPr>
                <w:rFonts w:eastAsia="Calibri"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spacing w:val="-1"/>
                <w:szCs w:val="22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9F64B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5AEF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</w:t>
            </w:r>
          </w:p>
        </w:tc>
      </w:tr>
      <w:tr w:rsidR="002E580D" w:rsidRPr="007A7B56" w14:paraId="3F314C2D" w14:textId="77777777" w:rsidTr="00B05FE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075D4F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zCs w:val="22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35E43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23E2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</w:t>
            </w:r>
          </w:p>
        </w:tc>
      </w:tr>
      <w:tr w:rsidR="002E580D" w:rsidRPr="007A7B56" w14:paraId="0DBBA7D5" w14:textId="77777777" w:rsidTr="00B05FEF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213A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i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i/>
                <w:spacing w:val="-1"/>
                <w:szCs w:val="22"/>
                <w:lang w:eastAsia="pl-PL"/>
              </w:rPr>
              <w:t>Bilans punktów ECTS</w:t>
            </w:r>
          </w:p>
        </w:tc>
      </w:tr>
      <w:tr w:rsidR="002E580D" w:rsidRPr="007A7B56" w14:paraId="1B6645FC" w14:textId="77777777" w:rsidTr="00B05FE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225039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7A7B56">
              <w:rPr>
                <w:rFonts w:eastAsia="Calibri"/>
                <w:b/>
                <w:bCs/>
                <w:snapToGrid w:val="0"/>
                <w:szCs w:val="22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7D3E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25h/ 1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619C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25h/ 1 ECTS</w:t>
            </w:r>
          </w:p>
        </w:tc>
      </w:tr>
      <w:tr w:rsidR="002E580D" w:rsidRPr="007A7B56" w14:paraId="15A57ED2" w14:textId="77777777" w:rsidTr="00B05FE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97A3BF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b/>
                <w:bCs/>
                <w:snapToGrid w:val="0"/>
                <w:szCs w:val="22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AFFF" w14:textId="77777777" w:rsidR="002E580D" w:rsidRPr="007A7B56" w:rsidRDefault="00E2067A" w:rsidP="00E2067A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20</w:t>
            </w:r>
            <w:r w:rsidR="002E580D">
              <w:rPr>
                <w:rFonts w:eastAsia="Calibri"/>
                <w:b/>
                <w:spacing w:val="-1"/>
                <w:szCs w:val="22"/>
                <w:lang w:eastAsia="pl-PL"/>
              </w:rPr>
              <w:t>h/0,</w:t>
            </w:r>
            <w:r>
              <w:rPr>
                <w:rFonts w:eastAsia="Calibri"/>
                <w:b/>
                <w:spacing w:val="-1"/>
                <w:szCs w:val="22"/>
                <w:lang w:eastAsia="pl-PL"/>
              </w:rPr>
              <w:t>8</w:t>
            </w:r>
            <w:r w:rsidR="002E580D">
              <w:rPr>
                <w:rFonts w:eastAsia="Calibri"/>
                <w:b/>
                <w:spacing w:val="-1"/>
                <w:szCs w:val="22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D322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10h/0,4 ECTS</w:t>
            </w:r>
          </w:p>
        </w:tc>
      </w:tr>
      <w:tr w:rsidR="002E580D" w:rsidRPr="007A7B56" w14:paraId="26A0F4D1" w14:textId="77777777" w:rsidTr="00B05FEF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FEEC00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zCs w:val="22"/>
                <w:lang w:eastAsia="pl-PL"/>
              </w:rPr>
              <w:t>Obciążenie studenta w ramach zajęć</w:t>
            </w:r>
            <w:r w:rsidRPr="007A7B56">
              <w:rPr>
                <w:rFonts w:eastAsia="Calibri"/>
                <w:spacing w:val="-1"/>
                <w:szCs w:val="22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67D5" w14:textId="77777777" w:rsidR="002E580D" w:rsidRPr="007A7B56" w:rsidRDefault="00E2067A" w:rsidP="00E2067A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20</w:t>
            </w:r>
            <w:r w:rsidR="002E580D">
              <w:rPr>
                <w:rFonts w:eastAsia="Calibri"/>
                <w:spacing w:val="-1"/>
                <w:szCs w:val="22"/>
                <w:lang w:eastAsia="pl-PL"/>
              </w:rPr>
              <w:t>h/0</w:t>
            </w:r>
            <w:r>
              <w:rPr>
                <w:rFonts w:eastAsia="Calibri"/>
                <w:spacing w:val="-1"/>
                <w:szCs w:val="22"/>
                <w:lang w:eastAsia="pl-PL"/>
              </w:rPr>
              <w:t>8</w:t>
            </w:r>
            <w:r w:rsidR="002E580D">
              <w:rPr>
                <w:rFonts w:eastAsia="Calibri"/>
                <w:spacing w:val="-1"/>
                <w:szCs w:val="22"/>
                <w:lang w:eastAsia="pl-PL"/>
              </w:rPr>
              <w:t>6ECTS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3A2F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15h/0,6ECTS</w:t>
            </w:r>
          </w:p>
        </w:tc>
      </w:tr>
      <w:tr w:rsidR="002E580D" w:rsidRPr="007A7B56" w14:paraId="75BE7B67" w14:textId="77777777" w:rsidTr="00B05FEF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DCC44E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6"/>
                <w:sz w:val="22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pacing w:val="-6"/>
                <w:szCs w:val="22"/>
                <w:lang w:eastAsia="pl-PL"/>
              </w:rPr>
              <w:t xml:space="preserve">Obciążenie studenta w ramach zajęć związanych </w:t>
            </w:r>
            <w:r w:rsidRPr="007A7B56">
              <w:rPr>
                <w:rFonts w:eastAsia="Calibri"/>
                <w:spacing w:val="-6"/>
                <w:szCs w:val="22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97AA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E187D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0 ECTS</w:t>
            </w:r>
          </w:p>
        </w:tc>
      </w:tr>
    </w:tbl>
    <w:p w14:paraId="27911255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425671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63544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162DBF"/>
    <w:rsid w:val="002861A7"/>
    <w:rsid w:val="002B32E2"/>
    <w:rsid w:val="002E580D"/>
    <w:rsid w:val="003A3F9D"/>
    <w:rsid w:val="003C2AB6"/>
    <w:rsid w:val="00423CA1"/>
    <w:rsid w:val="004577B9"/>
    <w:rsid w:val="0049285B"/>
    <w:rsid w:val="00514CD0"/>
    <w:rsid w:val="00696C6B"/>
    <w:rsid w:val="007B332C"/>
    <w:rsid w:val="00840A4B"/>
    <w:rsid w:val="008F323B"/>
    <w:rsid w:val="009666E3"/>
    <w:rsid w:val="00A17843"/>
    <w:rsid w:val="00A23E87"/>
    <w:rsid w:val="00B165F5"/>
    <w:rsid w:val="00B23D78"/>
    <w:rsid w:val="00B3642F"/>
    <w:rsid w:val="00BF6297"/>
    <w:rsid w:val="00C06166"/>
    <w:rsid w:val="00C2562E"/>
    <w:rsid w:val="00C5547A"/>
    <w:rsid w:val="00C649B1"/>
    <w:rsid w:val="00C954B8"/>
    <w:rsid w:val="00CA0476"/>
    <w:rsid w:val="00D576EB"/>
    <w:rsid w:val="00D94E0F"/>
    <w:rsid w:val="00E2067A"/>
    <w:rsid w:val="00E41C45"/>
    <w:rsid w:val="00E610DD"/>
    <w:rsid w:val="00EC53EC"/>
    <w:rsid w:val="00EF2919"/>
    <w:rsid w:val="00F05AF3"/>
    <w:rsid w:val="00F81854"/>
    <w:rsid w:val="00FC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29F32"/>
  <w15:docId w15:val="{EDAC4F36-5F47-4D09-9C7A-DD0E12AEB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2861A7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576EB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1">
    <w:name w:val="Akapit z listą1"/>
    <w:basedOn w:val="Normalny"/>
    <w:uiPriority w:val="99"/>
    <w:rsid w:val="008F323B"/>
    <w:pPr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2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723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22</cp:revision>
  <dcterms:created xsi:type="dcterms:W3CDTF">2018-09-09T16:00:00Z</dcterms:created>
  <dcterms:modified xsi:type="dcterms:W3CDTF">2024-11-17T15:52:00Z</dcterms:modified>
</cp:coreProperties>
</file>